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658C" w14:textId="77777777" w:rsidR="00720B48" w:rsidRDefault="002C5B26" w:rsidP="006D2068">
      <w:pPr>
        <w:pStyle w:val="NormalWeb"/>
        <w:spacing w:before="0" w:beforeAutospacing="0" w:after="0" w:afterAutospacing="0"/>
        <w:jc w:val="center"/>
        <w:rPr>
          <w:b/>
          <w:bCs/>
          <w:color w:val="000000"/>
        </w:rPr>
      </w:pPr>
      <w:r>
        <w:rPr>
          <w:b/>
          <w:bCs/>
          <w:color w:val="000000"/>
        </w:rPr>
        <w:t>Multiple</w:t>
      </w:r>
      <w:r w:rsidR="006D2068">
        <w:rPr>
          <w:b/>
          <w:bCs/>
          <w:color w:val="000000"/>
        </w:rPr>
        <w:t xml:space="preserve"> Faculty Positions in Neuroscience of Aging and CNS disease </w:t>
      </w:r>
    </w:p>
    <w:p w14:paraId="09D3CB5A" w14:textId="76BF9A8F" w:rsidR="006D2068" w:rsidRDefault="006D2068" w:rsidP="006D2068">
      <w:pPr>
        <w:pStyle w:val="NormalWeb"/>
        <w:spacing w:before="0" w:beforeAutospacing="0" w:after="0" w:afterAutospacing="0"/>
        <w:jc w:val="center"/>
      </w:pPr>
      <w:r>
        <w:rPr>
          <w:b/>
          <w:bCs/>
          <w:color w:val="000000"/>
        </w:rPr>
        <w:t>at Indiana University-Bloomington</w:t>
      </w:r>
      <w:r>
        <w:rPr>
          <w:color w:val="000000"/>
        </w:rPr>
        <w:t> </w:t>
      </w:r>
    </w:p>
    <w:p w14:paraId="1D2CF864" w14:textId="77777777" w:rsidR="006D2068" w:rsidRDefault="006D2068" w:rsidP="006D2068">
      <w:pPr>
        <w:pStyle w:val="NormalWeb"/>
        <w:spacing w:before="0" w:beforeAutospacing="0" w:after="0" w:afterAutospacing="0"/>
      </w:pPr>
      <w:r>
        <w:rPr>
          <w:color w:val="000000"/>
        </w:rPr>
        <w:t> </w:t>
      </w:r>
    </w:p>
    <w:p w14:paraId="6141CCBF" w14:textId="6B42A0C9" w:rsidR="006D2068" w:rsidRDefault="006D2068" w:rsidP="006D2068">
      <w:pPr>
        <w:pStyle w:val="NormalWeb"/>
        <w:spacing w:before="0" w:beforeAutospacing="0" w:after="0" w:afterAutospacing="0"/>
      </w:pPr>
      <w:r>
        <w:rPr>
          <w:color w:val="000000"/>
          <w:shd w:val="clear" w:color="auto" w:fill="FFFFFF"/>
        </w:rPr>
        <w:t>As part of a major, multi-year initiative to expand research activities in the Neuroscience of Aging and CNS diseases on the IU Bloomington campus, the</w:t>
      </w:r>
      <w:hyperlink r:id="rId10" w:history="1">
        <w:r>
          <w:rPr>
            <w:rStyle w:val="Hyperlink"/>
            <w:color w:val="000000"/>
            <w:shd w:val="clear" w:color="auto" w:fill="FFFFFF"/>
          </w:rPr>
          <w:t xml:space="preserve"> </w:t>
        </w:r>
        <w:r>
          <w:rPr>
            <w:rStyle w:val="Hyperlink"/>
            <w:color w:val="0563C1"/>
            <w:shd w:val="clear" w:color="auto" w:fill="FFFFFF"/>
          </w:rPr>
          <w:t>College of Arts and Sciences</w:t>
        </w:r>
      </w:hyperlink>
      <w:r w:rsidR="009B7887">
        <w:rPr>
          <w:color w:val="000000"/>
          <w:shd w:val="clear" w:color="auto" w:fill="FFFFFF"/>
        </w:rPr>
        <w:t xml:space="preserve">, </w:t>
      </w:r>
      <w:r>
        <w:rPr>
          <w:color w:val="000000"/>
          <w:shd w:val="clear" w:color="auto" w:fill="FFFFFF"/>
        </w:rPr>
        <w:t xml:space="preserve">the </w:t>
      </w:r>
      <w:hyperlink r:id="rId11" w:history="1">
        <w:r w:rsidRPr="00E627B3">
          <w:rPr>
            <w:rStyle w:val="Hyperlink"/>
            <w:shd w:val="clear" w:color="auto" w:fill="FFFFFF"/>
          </w:rPr>
          <w:t>School of Public Health</w:t>
        </w:r>
        <w:r w:rsidR="009B7887" w:rsidRPr="00E627B3">
          <w:rPr>
            <w:rStyle w:val="Hyperlink"/>
            <w:shd w:val="clear" w:color="auto" w:fill="FFFFFF"/>
          </w:rPr>
          <w:t>-Bloomington</w:t>
        </w:r>
      </w:hyperlink>
      <w:r w:rsidR="009B7887">
        <w:rPr>
          <w:color w:val="000000"/>
          <w:shd w:val="clear" w:color="auto" w:fill="FFFFFF"/>
        </w:rPr>
        <w:t xml:space="preserve">, and the </w:t>
      </w:r>
      <w:hyperlink r:id="rId12" w:history="1">
        <w:r w:rsidR="009B7887" w:rsidRPr="00E627B3">
          <w:rPr>
            <w:rStyle w:val="Hyperlink"/>
            <w:shd w:val="clear" w:color="auto" w:fill="FFFFFF"/>
          </w:rPr>
          <w:t>School of Optometry</w:t>
        </w:r>
      </w:hyperlink>
      <w:r>
        <w:rPr>
          <w:color w:val="000000"/>
          <w:shd w:val="clear" w:color="auto" w:fill="FFFFFF"/>
        </w:rPr>
        <w:t xml:space="preserve"> invite applications for multiple tenure/tenure-track positions at the Assistant, Associate Professor, and Full Professor rank to begin in the Fall of 2024. Appointments will be in one or more departments in the College of Arts and Sciences, including Psychological and Brain Sciences, and Speech, Language, and Hearing Sciences, within the School of Public Health, including the departments of</w:t>
      </w:r>
      <w:r>
        <w:rPr>
          <w:color w:val="000000"/>
        </w:rPr>
        <w:t xml:space="preserve"> Kinesiology and Health &amp; Wellness Design</w:t>
      </w:r>
      <w:r w:rsidR="00937A72">
        <w:rPr>
          <w:color w:val="000000"/>
          <w:shd w:val="clear" w:color="auto" w:fill="FFFFFF"/>
        </w:rPr>
        <w:t>, and/or within the School of Optometry.</w:t>
      </w:r>
    </w:p>
    <w:p w14:paraId="3458B2F9" w14:textId="77777777" w:rsidR="006D2068" w:rsidRDefault="006D2068" w:rsidP="006D2068">
      <w:pPr>
        <w:pStyle w:val="NormalWeb"/>
        <w:spacing w:before="0" w:beforeAutospacing="0" w:after="0" w:afterAutospacing="0"/>
      </w:pPr>
      <w:r>
        <w:rPr>
          <w:color w:val="000000"/>
        </w:rPr>
        <w:t> </w:t>
      </w:r>
    </w:p>
    <w:p w14:paraId="49D6D066" w14:textId="1D4BD217" w:rsidR="006D2068" w:rsidRDefault="006D2068" w:rsidP="006D2068">
      <w:pPr>
        <w:pStyle w:val="NormalWeb"/>
        <w:spacing w:before="0" w:beforeAutospacing="0" w:after="0" w:afterAutospacing="0"/>
      </w:pPr>
      <w:bookmarkStart w:id="0" w:name="_Hlk152917264"/>
      <w:r w:rsidRPr="79AFC456">
        <w:rPr>
          <w:color w:val="000000" w:themeColor="text1"/>
        </w:rPr>
        <w:t>We encourage scholars interested in aging (typical aging processes or disease-related processes) who apply interdisciplinary perspectives from a variety of domains, including neuroscience</w:t>
      </w:r>
      <w:r w:rsidR="6A798D5F" w:rsidRPr="79AFC456">
        <w:rPr>
          <w:color w:val="000000" w:themeColor="text1"/>
        </w:rPr>
        <w:t xml:space="preserve"> and vision science</w:t>
      </w:r>
      <w:r w:rsidRPr="79AFC456">
        <w:rPr>
          <w:color w:val="000000" w:themeColor="text1"/>
        </w:rPr>
        <w:t xml:space="preserve">, psychology, gerontology, speech, language and hearing sciences, and public health, among others. </w:t>
      </w:r>
      <w:r w:rsidRPr="452B439D">
        <w:rPr>
          <w:color w:val="000000" w:themeColor="text1"/>
        </w:rPr>
        <w:t xml:space="preserve">Neuroscience approaches are broadly construed, </w:t>
      </w:r>
      <w:r w:rsidR="04BAB591">
        <w:t>including single cell recording, circuit manipulations, fMRI, EEG, fNIRS, brain stimulation</w:t>
      </w:r>
      <w:r w:rsidR="26E3597B">
        <w:t>, retinal imaging, and psychophysics,</w:t>
      </w:r>
      <w:r w:rsidR="04BAB591">
        <w:t xml:space="preserve"> to name a few, and may target either human or animal models of human conditions.</w:t>
      </w:r>
      <w:r w:rsidR="04BAB591" w:rsidRPr="452B439D">
        <w:rPr>
          <w:color w:val="000000" w:themeColor="text1"/>
        </w:rPr>
        <w:t xml:space="preserve"> </w:t>
      </w:r>
      <w:r w:rsidRPr="79AFC456">
        <w:rPr>
          <w:color w:val="000000" w:themeColor="text1"/>
        </w:rPr>
        <w:t>We are interested in scholars who work at the basic, translational, and/or clinical levels of science.  </w:t>
      </w:r>
    </w:p>
    <w:bookmarkEnd w:id="0"/>
    <w:p w14:paraId="5105C001" w14:textId="77777777" w:rsidR="006D2068" w:rsidRDefault="006D2068" w:rsidP="006D2068">
      <w:pPr>
        <w:pStyle w:val="NormalWeb"/>
        <w:spacing w:before="0" w:beforeAutospacing="0" w:after="0" w:afterAutospacing="0"/>
      </w:pPr>
      <w:r>
        <w:rPr>
          <w:color w:val="000000"/>
        </w:rPr>
        <w:t> </w:t>
      </w:r>
    </w:p>
    <w:p w14:paraId="64A3D63B" w14:textId="497D6955" w:rsidR="006D2068" w:rsidRDefault="006D2068" w:rsidP="006D2068">
      <w:pPr>
        <w:pStyle w:val="NormalWeb"/>
        <w:spacing w:before="0" w:beforeAutospacing="0" w:after="0" w:afterAutospacing="0"/>
      </w:pPr>
      <w:r>
        <w:rPr>
          <w:color w:val="000000"/>
        </w:rPr>
        <w:t xml:space="preserve">This cluster hire is part of a new initiative that will position IU at the forefront of research on healthy and pathological aging, and CNS diseases. These hires build on strong, established collaborations between researchers at the IU campus and the </w:t>
      </w:r>
      <w:hyperlink r:id="rId13" w:history="1">
        <w:r w:rsidRPr="003D6C97">
          <w:rPr>
            <w:rStyle w:val="Hyperlink"/>
          </w:rPr>
          <w:t>Indiana Alzheimer’s Disease Research Centers</w:t>
        </w:r>
      </w:hyperlink>
      <w:r>
        <w:rPr>
          <w:color w:val="000000"/>
        </w:rPr>
        <w:t xml:space="preserve">, one of 33 NIH-funded Alzheimer’s centers in the country. IU also </w:t>
      </w:r>
      <w:r w:rsidR="4EAD7FAF">
        <w:rPr>
          <w:color w:val="000000"/>
        </w:rPr>
        <w:t>provides</w:t>
      </w:r>
      <w:r>
        <w:rPr>
          <w:color w:val="000000"/>
        </w:rPr>
        <w:t xml:space="preserve"> top tier research facilities, including the </w:t>
      </w:r>
      <w:hyperlink r:id="rId14" w:history="1">
        <w:r w:rsidRPr="00A37AD8">
          <w:rPr>
            <w:rStyle w:val="Hyperlink"/>
          </w:rPr>
          <w:t>Imaging Research Facility</w:t>
        </w:r>
      </w:hyperlink>
      <w:r>
        <w:rPr>
          <w:color w:val="000000"/>
        </w:rPr>
        <w:t xml:space="preserve">, which has a research-dedicated </w:t>
      </w:r>
      <w:r>
        <w:rPr>
          <w:color w:val="45382B"/>
          <w:shd w:val="clear" w:color="auto" w:fill="FFFFFF"/>
        </w:rPr>
        <w:t xml:space="preserve">Siemens 3-Tesla Prisma MRI scanner, and state of the art bench neuroscience laboratories. IU Bloomington’s Program in Neuroscience includes more than 50 faculty from different </w:t>
      </w:r>
      <w:r w:rsidR="50A538EF">
        <w:rPr>
          <w:color w:val="45382B"/>
          <w:shd w:val="clear" w:color="auto" w:fill="FFFFFF"/>
        </w:rPr>
        <w:t>d</w:t>
      </w:r>
      <w:r>
        <w:rPr>
          <w:color w:val="45382B"/>
          <w:shd w:val="clear" w:color="auto" w:fill="FFFFFF"/>
        </w:rPr>
        <w:t xml:space="preserve">epartments whose research focuses in four core research areas: behavioral neuroscience, clinical and translational neuroscience, cognitive and computational neuroscience, and molecular and cellular neuroscience. IU is also a primary hub for the </w:t>
      </w:r>
      <w:hyperlink r:id="rId15" w:history="1">
        <w:r w:rsidRPr="00595207">
          <w:rPr>
            <w:rStyle w:val="Hyperlink"/>
            <w:shd w:val="clear" w:color="auto" w:fill="FFFFFF"/>
          </w:rPr>
          <w:t>Indiana Clinical and Translational Sciences Institute</w:t>
        </w:r>
      </w:hyperlink>
      <w:r>
        <w:rPr>
          <w:color w:val="45382B"/>
          <w:shd w:val="clear" w:color="auto" w:fill="FFFFFF"/>
        </w:rPr>
        <w:t xml:space="preserve">, leveraging relationships with Purdue University, the University of Notre Dame, and the </w:t>
      </w:r>
      <w:hyperlink r:id="rId16" w:history="1">
        <w:r w:rsidRPr="00364E8D">
          <w:rPr>
            <w:rStyle w:val="Hyperlink"/>
            <w:shd w:val="clear" w:color="auto" w:fill="FFFFFF"/>
          </w:rPr>
          <w:t>Regenstrief Institute</w:t>
        </w:r>
      </w:hyperlink>
      <w:r>
        <w:rPr>
          <w:color w:val="45382B"/>
          <w:shd w:val="clear" w:color="auto" w:fill="FFFFFF"/>
        </w:rPr>
        <w:t xml:space="preserve"> to solve pressing health challenges. </w:t>
      </w:r>
    </w:p>
    <w:p w14:paraId="7C5E768A" w14:textId="77777777" w:rsidR="006D2068" w:rsidRDefault="006D2068" w:rsidP="006D2068">
      <w:pPr>
        <w:pStyle w:val="NormalWeb"/>
        <w:spacing w:before="0" w:beforeAutospacing="0" w:after="0" w:afterAutospacing="0"/>
      </w:pPr>
      <w:r>
        <w:rPr>
          <w:color w:val="000000"/>
        </w:rPr>
        <w:t> </w:t>
      </w:r>
    </w:p>
    <w:p w14:paraId="4EF6758E" w14:textId="23229698" w:rsidR="006D2068" w:rsidRDefault="006D2068" w:rsidP="006D2068">
      <w:pPr>
        <w:pStyle w:val="NormalWeb"/>
        <w:spacing w:before="0" w:beforeAutospacing="0" w:after="0" w:afterAutospacing="0"/>
      </w:pPr>
      <w:r w:rsidRPr="79AFC456">
        <w:rPr>
          <w:b/>
          <w:color w:val="000000" w:themeColor="text1"/>
        </w:rPr>
        <w:t xml:space="preserve">Qualifications: </w:t>
      </w:r>
      <w:r w:rsidRPr="79AFC456">
        <w:rPr>
          <w:color w:val="000000" w:themeColor="text1"/>
        </w:rPr>
        <w:t xml:space="preserve">Applicants must have a PhD in Neuroscience, Psychology, Speech/Language/Hearing Sciences or Communication Sciences and Disorders, Public Health, </w:t>
      </w:r>
      <w:r w:rsidR="2EE23946" w:rsidRPr="79AFC456">
        <w:rPr>
          <w:color w:val="000000" w:themeColor="text1"/>
        </w:rPr>
        <w:t xml:space="preserve">Vision Science, </w:t>
      </w:r>
      <w:r w:rsidRPr="79AFC456">
        <w:rPr>
          <w:color w:val="000000" w:themeColor="text1"/>
        </w:rPr>
        <w:t>or a related field, and a record of scholarship, teaching, and professional experience appropriate for a tenured or tenure-track professorship at IU Bloomington. The positions are open at the Assistant, Associate, and Full Professor levels. To advance scholarly innovation and excellence, we especially welcome candidates who will broadly increase the university’s diversity, equity, and inclusion through any of the following: their lived experience, research, teaching, and/or mentoring. Candidates should be able to work effectively in an interdisciplinary team environment.  </w:t>
      </w:r>
    </w:p>
    <w:p w14:paraId="6008B84D" w14:textId="77777777" w:rsidR="006D2068" w:rsidRDefault="006D2068" w:rsidP="006D2068">
      <w:pPr>
        <w:pStyle w:val="NormalWeb"/>
        <w:spacing w:before="0" w:beforeAutospacing="0" w:after="0" w:afterAutospacing="0"/>
      </w:pPr>
      <w:r>
        <w:rPr>
          <w:color w:val="000000"/>
        </w:rPr>
        <w:t> </w:t>
      </w:r>
    </w:p>
    <w:p w14:paraId="352A5588" w14:textId="4DF94C2B" w:rsidR="006D2068" w:rsidRDefault="006D2068" w:rsidP="367680E4">
      <w:pPr>
        <w:pStyle w:val="NormalWeb"/>
        <w:spacing w:before="0" w:beforeAutospacing="0" w:after="0" w:afterAutospacing="0"/>
      </w:pPr>
      <w:r w:rsidRPr="367680E4">
        <w:rPr>
          <w:b/>
          <w:bCs/>
          <w:color w:val="000000" w:themeColor="text1"/>
        </w:rPr>
        <w:lastRenderedPageBreak/>
        <w:t xml:space="preserve">Responsibilities: </w:t>
      </w:r>
      <w:r w:rsidRPr="367680E4">
        <w:rPr>
          <w:color w:val="000000" w:themeColor="text1"/>
        </w:rPr>
        <w:t>Candidates are expected to sustain an active, externally funded research program, to engage undergraduate and graduate students through effective teaching, and to participate in service to the University and the profession. </w:t>
      </w:r>
    </w:p>
    <w:p w14:paraId="5904022F" w14:textId="195F587F" w:rsidR="367680E4" w:rsidRDefault="367680E4" w:rsidP="367680E4">
      <w:pPr>
        <w:pStyle w:val="NormalWeb"/>
        <w:spacing w:before="0" w:beforeAutospacing="0" w:after="0" w:afterAutospacing="0"/>
        <w:rPr>
          <w:color w:val="000000" w:themeColor="text1"/>
        </w:rPr>
      </w:pPr>
    </w:p>
    <w:p w14:paraId="268D87AD" w14:textId="77777777" w:rsidR="00726134" w:rsidRDefault="006D2068" w:rsidP="00781A86">
      <w:pPr>
        <w:pStyle w:val="NormalWeb"/>
        <w:spacing w:after="0" w:afterAutospacing="0"/>
        <w:rPr>
          <w:rStyle w:val="normaltextrun"/>
        </w:rPr>
      </w:pPr>
      <w:r>
        <w:rPr>
          <w:b/>
          <w:bCs/>
          <w:color w:val="000000"/>
        </w:rPr>
        <w:t>Application Procedures:</w:t>
      </w:r>
      <w:r w:rsidR="001849BD">
        <w:rPr>
          <w:color w:val="000000"/>
        </w:rPr>
        <w:t xml:space="preserve"> Applications should be submitted online using the links provided below. C</w:t>
      </w:r>
      <w:r w:rsidR="00BF18F3">
        <w:rPr>
          <w:color w:val="000000"/>
        </w:rPr>
        <w:t xml:space="preserve">andidates applying for a </w:t>
      </w:r>
      <w:r w:rsidR="00BF18F3" w:rsidRPr="00741A9C">
        <w:rPr>
          <w:b/>
          <w:bCs/>
          <w:color w:val="000000"/>
        </w:rPr>
        <w:t>tenured Associate or Full Professor</w:t>
      </w:r>
      <w:r w:rsidR="00BF18F3">
        <w:rPr>
          <w:color w:val="000000"/>
        </w:rPr>
        <w:t xml:space="preserve"> position should</w:t>
      </w:r>
      <w:r>
        <w:rPr>
          <w:color w:val="000000"/>
        </w:rPr>
        <w:t xml:space="preserve"> submit a CV</w:t>
      </w:r>
      <w:r w:rsidR="00784DE0">
        <w:rPr>
          <w:color w:val="000000"/>
        </w:rPr>
        <w:t>;</w:t>
      </w:r>
      <w:r w:rsidRPr="00741A9C">
        <w:rPr>
          <w:color w:val="000000"/>
        </w:rPr>
        <w:t xml:space="preserve"> letter of application that describes your research, teaching, and engagement with fostering a diverse and welcoming work environment</w:t>
      </w:r>
      <w:r w:rsidR="00784DE0">
        <w:rPr>
          <w:color w:val="000000"/>
        </w:rPr>
        <w:t>;</w:t>
      </w:r>
      <w:r>
        <w:rPr>
          <w:color w:val="000000"/>
        </w:rPr>
        <w:t xml:space="preserve"> and </w:t>
      </w:r>
      <w:r>
        <w:rPr>
          <w:color w:val="333333"/>
          <w:shd w:val="clear" w:color="auto" w:fill="FFFFFF"/>
        </w:rPr>
        <w:t>be prepared to provide the names of six references. References will only be contacted for those candidates moving to advanced stages of consideration.</w:t>
      </w:r>
      <w:r>
        <w:rPr>
          <w:color w:val="000000"/>
        </w:rPr>
        <w:t> </w:t>
      </w:r>
      <w:r w:rsidR="00D77B02">
        <w:rPr>
          <w:color w:val="000000"/>
        </w:rPr>
        <w:t xml:space="preserve">Applicants for </w:t>
      </w:r>
      <w:r w:rsidR="00D77B02" w:rsidRPr="00741A9C">
        <w:rPr>
          <w:b/>
          <w:bCs/>
          <w:color w:val="000000"/>
        </w:rPr>
        <w:t>tenure track position at the Assistant Professor rank</w:t>
      </w:r>
      <w:r w:rsidR="00D77B02">
        <w:rPr>
          <w:color w:val="000000"/>
        </w:rPr>
        <w:t xml:space="preserve"> </w:t>
      </w:r>
      <w:r w:rsidR="001849BD">
        <w:rPr>
          <w:color w:val="000000"/>
        </w:rPr>
        <w:t xml:space="preserve">should </w:t>
      </w:r>
      <w:r w:rsidR="003D152D">
        <w:rPr>
          <w:color w:val="000000"/>
        </w:rPr>
        <w:t xml:space="preserve">submit </w:t>
      </w:r>
      <w:r w:rsidR="003D152D" w:rsidRPr="00E1052D">
        <w:rPr>
          <w:rStyle w:val="normaltextrun"/>
          <w:color w:val="000000"/>
        </w:rPr>
        <w:t>a letter of application; CV; statements on research and teaching; a diversity statement which addresses engagement with</w:t>
      </w:r>
      <w:r w:rsidR="003D152D" w:rsidRPr="00E1052D">
        <w:rPr>
          <w:rStyle w:val="normaltextrun"/>
        </w:rPr>
        <w:t xml:space="preserve"> fostering a diverse and welcoming work environment</w:t>
      </w:r>
      <w:r w:rsidR="00675EDD">
        <w:rPr>
          <w:rStyle w:val="normaltextrun"/>
        </w:rPr>
        <w:t xml:space="preserve">; and the names and contact emails for three references. </w:t>
      </w:r>
    </w:p>
    <w:p w14:paraId="5A3172C8" w14:textId="77777777" w:rsidR="00726134" w:rsidRDefault="00675EDD" w:rsidP="00781A86">
      <w:pPr>
        <w:pStyle w:val="NormalWeb"/>
        <w:spacing w:after="0" w:afterAutospacing="0"/>
        <w:rPr>
          <w:rStyle w:val="normaltextrun"/>
        </w:rPr>
      </w:pPr>
      <w:r>
        <w:rPr>
          <w:rStyle w:val="normaltextrun"/>
        </w:rPr>
        <w:t xml:space="preserve">Applicants for the tenured Associate or Full positions should submit applications at </w:t>
      </w:r>
      <w:hyperlink r:id="rId17" w:history="1">
        <w:r w:rsidR="003B2D8A">
          <w:rPr>
            <w:rStyle w:val="Hyperlink"/>
          </w:rPr>
          <w:t>http://indiana.peopleadmin.com/hr/postings/21862</w:t>
        </w:r>
      </w:hyperlink>
      <w:r w:rsidR="00BA6E69">
        <w:rPr>
          <w:rStyle w:val="normaltextrun"/>
        </w:rPr>
        <w:t xml:space="preserve">. </w:t>
      </w:r>
    </w:p>
    <w:p w14:paraId="34200AF0" w14:textId="676649FE" w:rsidR="006D2068" w:rsidRDefault="00BA6E69" w:rsidP="00781A86">
      <w:pPr>
        <w:pStyle w:val="NormalWeb"/>
        <w:spacing w:after="0" w:afterAutospacing="0"/>
      </w:pPr>
      <w:r>
        <w:rPr>
          <w:rStyle w:val="normaltextrun"/>
        </w:rPr>
        <w:t>Applicants for the tenure-track Assistant Professor positions should submit application</w:t>
      </w:r>
      <w:r w:rsidR="55E0F399">
        <w:rPr>
          <w:rStyle w:val="normaltextrun"/>
        </w:rPr>
        <w:t>s</w:t>
      </w:r>
      <w:r>
        <w:rPr>
          <w:rStyle w:val="normaltextrun"/>
        </w:rPr>
        <w:t xml:space="preserve"> at </w:t>
      </w:r>
      <w:hyperlink r:id="rId18" w:tgtFrame="_blank" w:history="1">
        <w:r w:rsidR="00555F92" w:rsidRPr="00781A86">
          <w:rPr>
            <w:rStyle w:val="Hyperlink"/>
            <w:color w:val="207AB6"/>
            <w:u w:val="none"/>
          </w:rPr>
          <w:t>https://indiana.peopleadmin.com/postings/2186</w:t>
        </w:r>
        <w:r w:rsidR="00555F92" w:rsidRPr="00781A86">
          <w:rPr>
            <w:rStyle w:val="Hyperlink"/>
            <w:color w:val="207AB6"/>
            <w:u w:val="none"/>
          </w:rPr>
          <w:t>3</w:t>
        </w:r>
      </w:hyperlink>
      <w:r w:rsidRPr="00781A86">
        <w:rPr>
          <w:rStyle w:val="normaltextrun"/>
        </w:rPr>
        <w:t>.</w:t>
      </w:r>
    </w:p>
    <w:p w14:paraId="4C506C6F" w14:textId="77777777" w:rsidR="006D2068" w:rsidRDefault="006D2068" w:rsidP="006D2068">
      <w:pPr>
        <w:pStyle w:val="NormalWeb"/>
        <w:spacing w:before="0" w:beforeAutospacing="0" w:after="0" w:afterAutospacing="0"/>
      </w:pPr>
      <w:r>
        <w:rPr>
          <w:color w:val="000000"/>
        </w:rPr>
        <w:t> </w:t>
      </w:r>
    </w:p>
    <w:p w14:paraId="445CB098" w14:textId="41A0C6AF" w:rsidR="006D2068" w:rsidRDefault="006D2068" w:rsidP="006D2068">
      <w:pPr>
        <w:pStyle w:val="NormalWeb"/>
        <w:spacing w:before="0" w:beforeAutospacing="0" w:after="0" w:afterAutospacing="0"/>
      </w:pPr>
      <w:r w:rsidRPr="79AFC456">
        <w:rPr>
          <w:color w:val="000000" w:themeColor="text1"/>
        </w:rPr>
        <w:t xml:space="preserve">Applications received by January 15, 2024 will be </w:t>
      </w:r>
      <w:r w:rsidR="10BA1AB1" w:rsidRPr="3704CB96">
        <w:rPr>
          <w:color w:val="000000" w:themeColor="text1"/>
        </w:rPr>
        <w:t>assured</w:t>
      </w:r>
      <w:r w:rsidRPr="79AFC456">
        <w:rPr>
          <w:color w:val="000000" w:themeColor="text1"/>
        </w:rPr>
        <w:t xml:space="preserve"> full consideration</w:t>
      </w:r>
      <w:r w:rsidR="6C641F48" w:rsidRPr="3704CB96">
        <w:rPr>
          <w:color w:val="000000" w:themeColor="text1"/>
        </w:rPr>
        <w:t>; however, the search will remain open until the position is filled</w:t>
      </w:r>
      <w:r w:rsidRPr="3704CB96">
        <w:rPr>
          <w:color w:val="000000" w:themeColor="text1"/>
        </w:rPr>
        <w:t>.</w:t>
      </w:r>
      <w:r w:rsidRPr="79AFC456">
        <w:rPr>
          <w:color w:val="000000" w:themeColor="text1"/>
        </w:rPr>
        <w:t xml:space="preserve"> The expected start date is August 1, 2024; however, alternative dates can be considered. All queries about the position or the application procedures may be addressed to </w:t>
      </w:r>
      <w:r>
        <w:rPr>
          <w:color w:val="0563C1"/>
        </w:rPr>
        <w:t>faculty</w:t>
      </w:r>
      <w:r w:rsidR="00F131DB">
        <w:rPr>
          <w:color w:val="0563C1"/>
        </w:rPr>
        <w:t>2</w:t>
      </w:r>
      <w:r>
        <w:rPr>
          <w:color w:val="0563C1"/>
        </w:rPr>
        <w:t>@indiana.edu</w:t>
      </w:r>
      <w:r>
        <w:rPr>
          <w:color w:val="0563C1"/>
          <w:u w:val="single"/>
        </w:rPr>
        <w:t>.</w:t>
      </w:r>
      <w:r>
        <w:rPr>
          <w:color w:val="0563C1"/>
        </w:rPr>
        <w:t> </w:t>
      </w:r>
    </w:p>
    <w:p w14:paraId="32EFA1FE" w14:textId="77777777" w:rsidR="006D2068" w:rsidRDefault="006D2068" w:rsidP="006D2068">
      <w:pPr>
        <w:pStyle w:val="NormalWeb"/>
        <w:spacing w:before="0" w:beforeAutospacing="0" w:after="0" w:afterAutospacing="0"/>
      </w:pPr>
      <w:r>
        <w:rPr>
          <w:color w:val="000000"/>
        </w:rPr>
        <w:t> </w:t>
      </w:r>
    </w:p>
    <w:p w14:paraId="2E2660E5" w14:textId="77777777" w:rsidR="006D2068" w:rsidRDefault="006D2068" w:rsidP="006D2068">
      <w:pPr>
        <w:pStyle w:val="NormalWeb"/>
        <w:spacing w:before="0" w:beforeAutospacing="0" w:after="0" w:afterAutospacing="0"/>
      </w:pPr>
      <w:r w:rsidRPr="2AAE0934">
        <w:rPr>
          <w:color w:val="000000" w:themeColor="text1"/>
        </w:rPr>
        <w:t>Before a conditional offer of employment with tenure is finalized, candidates will be asked to disclose any pending investigations or previous findings of sexual or professional misconduct. They will also be required to authorize an inquiry by Indiana University Bloomington with all current and former employers along these lines. The relevance of information disclosed or ascertained in the context of this process to a candidate’s eligibility for hire will be evaluated by Indiana University Bloomington on a case-by-case basis. Applicants should be aware, however, that Indiana University Bloomington takes the matters of sexual and professional misconduct very seriously. </w:t>
      </w:r>
    </w:p>
    <w:p w14:paraId="115FFFF2" w14:textId="77777777" w:rsidR="006D2068" w:rsidRDefault="006D2068" w:rsidP="006D2068">
      <w:pPr>
        <w:pStyle w:val="NormalWeb"/>
        <w:spacing w:before="0" w:beforeAutospacing="0" w:after="0" w:afterAutospacing="0"/>
      </w:pPr>
      <w:r>
        <w:rPr>
          <w:color w:val="000000"/>
        </w:rPr>
        <w:t> </w:t>
      </w:r>
    </w:p>
    <w:p w14:paraId="2AEA96B8" w14:textId="77777777" w:rsidR="006D2068" w:rsidRDefault="006D2068" w:rsidP="006D2068">
      <w:pPr>
        <w:pStyle w:val="NormalWeb"/>
        <w:spacing w:before="0" w:beforeAutospacing="0" w:after="0" w:afterAutospacing="0"/>
        <w:jc w:val="center"/>
      </w:pPr>
      <w:r>
        <w:rPr>
          <w:i/>
          <w:iCs/>
          <w:color w:val="000000"/>
        </w:rPr>
        <w:t>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w:t>
      </w:r>
      <w:r>
        <w:rPr>
          <w:color w:val="000000"/>
        </w:rPr>
        <w:t> </w:t>
      </w:r>
    </w:p>
    <w:p w14:paraId="04A4E657" w14:textId="77777777" w:rsidR="006D2068" w:rsidRDefault="006D2068" w:rsidP="006D2068">
      <w:pPr>
        <w:pStyle w:val="NormalWeb"/>
        <w:spacing w:before="0" w:beforeAutospacing="0" w:after="0" w:afterAutospacing="0"/>
      </w:pPr>
      <w:r>
        <w:rPr>
          <w:color w:val="000000"/>
        </w:rPr>
        <w:t> </w:t>
      </w:r>
    </w:p>
    <w:p w14:paraId="452554BF" w14:textId="77777777" w:rsidR="006D2068" w:rsidRDefault="006D2068" w:rsidP="006D2068">
      <w:pPr>
        <w:pStyle w:val="NormalWeb"/>
        <w:spacing w:before="0" w:beforeAutospacing="0" w:after="0" w:afterAutospacing="0"/>
      </w:pPr>
      <w:r>
        <w:rPr>
          <w:b/>
          <w:bCs/>
          <w:color w:val="000000"/>
        </w:rPr>
        <w:t>About Indiana University Bloomington:</w:t>
      </w:r>
      <w:r>
        <w:rPr>
          <w:color w:val="000000"/>
        </w:rPr>
        <w:t xml:space="preserve"> Founded in 1820, Indiana University-Bloomington (IUB) is the flagship campus of Indiana University. Located in Bloomington, IN., IUB constantly strives to embody its mission to create, disseminate, preserve, and apply knowledge. It does so through its commitments to cutting-edge research, scholarship, arts, and creative activity; inspired and challenging undergraduate, graduate, professional, and lifelong educational programs; meaningful experiences outside the classroom; expansive global educational opportunities while fostering a culturally diverse campus environment; first-rate library and museum collections; and far-reaching economic development and impact in the state and region.  </w:t>
      </w:r>
    </w:p>
    <w:p w14:paraId="4431059E" w14:textId="77777777" w:rsidR="006D2068" w:rsidRDefault="006D2068" w:rsidP="006D2068">
      <w:pPr>
        <w:pStyle w:val="NormalWeb"/>
        <w:spacing w:before="0" w:beforeAutospacing="0" w:after="0" w:afterAutospacing="0"/>
      </w:pPr>
      <w:r>
        <w:rPr>
          <w:color w:val="000000"/>
        </w:rPr>
        <w:t> </w:t>
      </w:r>
    </w:p>
    <w:p w14:paraId="27B15D42" w14:textId="77777777" w:rsidR="006D2068" w:rsidRDefault="006D2068" w:rsidP="006D2068">
      <w:pPr>
        <w:pStyle w:val="NormalWeb"/>
        <w:spacing w:before="0" w:beforeAutospacing="0" w:after="0" w:afterAutospacing="0"/>
      </w:pPr>
      <w:r>
        <w:rPr>
          <w:color w:val="000000"/>
        </w:rPr>
        <w:t>IUB is a member of the prestigious Association of American University (AAU) since 1909, is accredited by the Higher Learning Commission and is a member of the North Central Association. With over 47,000 undergraduate and graduate students, the campus has 16 degree-granting colleges and schools offering 300+ undergraduate majors, 300+ Master’s degrees, and 150+ doctoral and professional degree opportunities. Known for its Indiana limestone facades and green spaces throughout, IUB is widely considered one of the country’s most beautiful college campuses.  </w:t>
      </w:r>
    </w:p>
    <w:p w14:paraId="5A53852A" w14:textId="77777777" w:rsidR="006D2068" w:rsidRDefault="006D2068" w:rsidP="006D2068">
      <w:pPr>
        <w:pStyle w:val="NormalWeb"/>
        <w:spacing w:before="0" w:beforeAutospacing="0" w:after="0" w:afterAutospacing="0"/>
      </w:pPr>
      <w:r>
        <w:rPr>
          <w:color w:val="000000"/>
        </w:rPr>
        <w:t> </w:t>
      </w:r>
    </w:p>
    <w:p w14:paraId="51289471" w14:textId="77777777" w:rsidR="006D2068" w:rsidRDefault="006D2068" w:rsidP="006D2068">
      <w:pPr>
        <w:pStyle w:val="NormalWeb"/>
        <w:spacing w:before="0" w:beforeAutospacing="0" w:after="0" w:afterAutospacing="0"/>
        <w:rPr>
          <w:color w:val="000000"/>
        </w:rPr>
      </w:pPr>
      <w:r>
        <w:rPr>
          <w:color w:val="000000"/>
        </w:rPr>
        <w:t>The</w:t>
      </w:r>
      <w:hyperlink r:id="rId19" w:history="1">
        <w:r>
          <w:rPr>
            <w:rStyle w:val="Hyperlink"/>
            <w:color w:val="000000"/>
          </w:rPr>
          <w:t xml:space="preserve"> </w:t>
        </w:r>
        <w:r>
          <w:rPr>
            <w:rStyle w:val="Hyperlink"/>
            <w:color w:val="0563C1"/>
          </w:rPr>
          <w:t>College of Arts and Sciences</w:t>
        </w:r>
      </w:hyperlink>
      <w:r>
        <w:rPr>
          <w:color w:val="000000"/>
        </w:rPr>
        <w:t xml:space="preserve"> at Indiana University offers over 225 academic programs rooted in three broad areas of study—Arts and Humanities, Natural and Mathematics Sciences, and Social and Historical Studies. The College is home to over 70 departments and programs and three schools—the Eskenazi School of Art, Architecture + Design, the Hamilton Lugar School of Global and International Studies, and The Media School. Over 900 faculty members serve within the College and form an extraordinary teaching and learning community at the heart of a world-class university. Members of the College’s faculty are continually recognized as elected fellows of the American Academy of Arts and Sciences, the National Academies, the American Association for the Advancement of Science, and include MacArthur and Guggenheim Fellows, Fulbright Award winners, and Pulitzer Prize, Oscar, and Emmy winners. </w:t>
      </w:r>
    </w:p>
    <w:p w14:paraId="2A59E7B4" w14:textId="77777777" w:rsidR="00B8047C" w:rsidRDefault="00B8047C" w:rsidP="006D2068">
      <w:pPr>
        <w:pStyle w:val="NormalWeb"/>
        <w:spacing w:before="0" w:beforeAutospacing="0" w:after="0" w:afterAutospacing="0"/>
      </w:pPr>
    </w:p>
    <w:p w14:paraId="133C72D2" w14:textId="23D912A0" w:rsidR="00B8047C" w:rsidRDefault="00B8047C" w:rsidP="006D2068">
      <w:pPr>
        <w:pStyle w:val="NormalWeb"/>
        <w:spacing w:before="0" w:beforeAutospacing="0" w:after="0" w:afterAutospacing="0"/>
      </w:pPr>
      <w:r>
        <w:t>The</w:t>
      </w:r>
      <w:r w:rsidR="007B6F74">
        <w:t xml:space="preserve"> IU</w:t>
      </w:r>
      <w:r>
        <w:t xml:space="preserve"> </w:t>
      </w:r>
      <w:hyperlink r:id="rId20">
        <w:r w:rsidRPr="79AFC456">
          <w:rPr>
            <w:rStyle w:val="Hyperlink"/>
          </w:rPr>
          <w:t>School of Optometry</w:t>
        </w:r>
      </w:hyperlink>
      <w:r w:rsidR="00BC34F5">
        <w:t>, located on the Bloomington campus of Indiana University,</w:t>
      </w:r>
      <w:r w:rsidR="00BB4667">
        <w:t xml:space="preserve"> is focused on its mission to protect, advance and promote the vision eye care, and health of people worldwide through its</w:t>
      </w:r>
      <w:r>
        <w:t xml:space="preserve"> very active</w:t>
      </w:r>
      <w:hyperlink r:id="rId21">
        <w:r w:rsidRPr="79AFC456">
          <w:rPr>
            <w:rStyle w:val="Hyperlink"/>
          </w:rPr>
          <w:t xml:space="preserve"> research</w:t>
        </w:r>
      </w:hyperlink>
      <w:r>
        <w:t xml:space="preserve"> and </w:t>
      </w:r>
      <w:hyperlink r:id="rId22">
        <w:r w:rsidRPr="79AFC456">
          <w:rPr>
            <w:rStyle w:val="Hyperlink"/>
          </w:rPr>
          <w:t>graduate programs</w:t>
        </w:r>
      </w:hyperlink>
      <w:r w:rsidR="00D26763">
        <w:t xml:space="preserve">. </w:t>
      </w:r>
      <w:r w:rsidR="00D8599A">
        <w:t>Placing a high value on collaboration for innovation</w:t>
      </w:r>
      <w:r w:rsidR="006B7BE8">
        <w:t xml:space="preserve">s in research, the School’s </w:t>
      </w:r>
      <w:hyperlink r:id="rId23">
        <w:r w:rsidR="006B7BE8" w:rsidRPr="79AFC456">
          <w:rPr>
            <w:rStyle w:val="Hyperlink"/>
          </w:rPr>
          <w:t>Borish Center for Ophthalmic Research</w:t>
        </w:r>
      </w:hyperlink>
      <w:r>
        <w:t xml:space="preserve"> </w:t>
      </w:r>
      <w:r w:rsidR="000E36C4">
        <w:t>fosters strong working relationships within the university and with government agencies, industry partners, professional organizations, practitioners, and the public</w:t>
      </w:r>
      <w:r w:rsidR="00B05EAB">
        <w:t xml:space="preserve">. The School </w:t>
      </w:r>
      <w:r w:rsidR="6401831B">
        <w:t xml:space="preserve"> of Optometry</w:t>
      </w:r>
      <w:r w:rsidR="00B05EAB">
        <w:t xml:space="preserve"> is home to forty-five </w:t>
      </w:r>
      <w:r w:rsidR="00525CC0">
        <w:t>tenure/tenure track, clinical faculty, and lecturers</w:t>
      </w:r>
      <w:r w:rsidR="00705CB7">
        <w:t xml:space="preserve"> educating the next generation of optometrist and ophthalmic researchers</w:t>
      </w:r>
      <w:r w:rsidR="00B25EB8">
        <w:t xml:space="preserve">, alongside world class research </w:t>
      </w:r>
      <w:r w:rsidR="00226BB9">
        <w:t>aimed at solving vision problems that plague the nation and the world.</w:t>
      </w:r>
    </w:p>
    <w:p w14:paraId="1CD39A61" w14:textId="77777777" w:rsidR="006D2068" w:rsidRDefault="006D2068" w:rsidP="006D2068">
      <w:pPr>
        <w:pStyle w:val="NormalWeb"/>
        <w:spacing w:before="0" w:beforeAutospacing="0" w:after="0" w:afterAutospacing="0"/>
      </w:pPr>
      <w:r>
        <w:rPr>
          <w:color w:val="000000"/>
        </w:rPr>
        <w:t> </w:t>
      </w:r>
    </w:p>
    <w:p w14:paraId="3F5C3A73" w14:textId="6A9FCF46" w:rsidR="006A4AA5" w:rsidRPr="001C1346" w:rsidRDefault="00C92519" w:rsidP="006D2068">
      <w:pPr>
        <w:pStyle w:val="NormalWeb"/>
        <w:spacing w:before="0" w:beforeAutospacing="0" w:after="0" w:afterAutospacing="0"/>
        <w:rPr>
          <w:color w:val="000000"/>
        </w:rPr>
      </w:pPr>
      <w:r>
        <w:rPr>
          <w:color w:val="000000"/>
        </w:rPr>
        <w:t>The</w:t>
      </w:r>
      <w:r w:rsidR="00EA621A">
        <w:rPr>
          <w:rStyle w:val="Hyperlink"/>
          <w:color w:val="000000"/>
          <w:u w:val="none"/>
        </w:rPr>
        <w:t xml:space="preserve"> </w:t>
      </w:r>
      <w:hyperlink r:id="rId24" w:history="1">
        <w:r w:rsidR="006D2068" w:rsidRPr="0096572A">
          <w:rPr>
            <w:rStyle w:val="Hyperlink"/>
          </w:rPr>
          <w:t>School of Public Health</w:t>
        </w:r>
        <w:r w:rsidR="00F131DB" w:rsidRPr="0096572A">
          <w:rPr>
            <w:rStyle w:val="Hyperlink"/>
          </w:rPr>
          <w:t>-Bloomington</w:t>
        </w:r>
      </w:hyperlink>
      <w:r w:rsidR="006D2068">
        <w:rPr>
          <w:color w:val="000000"/>
        </w:rPr>
        <w:t xml:space="preserve"> is </w:t>
      </w:r>
      <w:r w:rsidR="00EA621A">
        <w:rPr>
          <w:color w:val="000000"/>
        </w:rPr>
        <w:t>located</w:t>
      </w:r>
      <w:r w:rsidR="004B03AB">
        <w:rPr>
          <w:color w:val="000000"/>
        </w:rPr>
        <w:t xml:space="preserve"> on the IU Bloomington campus and is comprised of over 200 faculty across five departments includin</w:t>
      </w:r>
      <w:r w:rsidR="006F4119">
        <w:rPr>
          <w:color w:val="000000"/>
        </w:rPr>
        <w:t>g: Applied Health Science, Epidemiology and Biostatistics, Kinesiology, Health &amp; Wellness Design, and Environmental and Occupational Health.</w:t>
      </w:r>
      <w:r w:rsidR="006D2068">
        <w:rPr>
          <w:color w:val="000000"/>
        </w:rPr>
        <w:t xml:space="preserve"> </w:t>
      </w:r>
      <w:r w:rsidR="006F4119">
        <w:rPr>
          <w:color w:val="000000"/>
        </w:rPr>
        <w:t>The School’s</w:t>
      </w:r>
      <w:r w:rsidR="006D2068">
        <w:rPr>
          <w:color w:val="000000"/>
        </w:rPr>
        <w:t xml:space="preserve"> </w:t>
      </w:r>
      <w:r w:rsidR="006D2068" w:rsidRPr="006A4AA5">
        <w:t>mission is to promote health among individuals and communities in Indiana, the nation, and the world through integrated multidisciplinary approaches to research and creative activities, teaching, and community engagement.</w:t>
      </w:r>
      <w:r w:rsidR="00541652">
        <w:rPr>
          <w:color w:val="243142"/>
          <w:shd w:val="clear" w:color="auto" w:fill="F8F9FA"/>
        </w:rPr>
        <w:t xml:space="preserve"> </w:t>
      </w:r>
      <w:r w:rsidR="000B245B" w:rsidRPr="00594278">
        <w:t xml:space="preserve">Leaders in their fields, the </w:t>
      </w:r>
      <w:r w:rsidR="00345F03" w:rsidRPr="00594278">
        <w:t xml:space="preserve">School includes fellows of the </w:t>
      </w:r>
      <w:r w:rsidR="00DF6268" w:rsidRPr="00594278">
        <w:t xml:space="preserve">National </w:t>
      </w:r>
      <w:r w:rsidR="00345F03" w:rsidRPr="00594278">
        <w:t xml:space="preserve">Academy of Kinesiology, </w:t>
      </w:r>
      <w:r w:rsidR="00787331" w:rsidRPr="00594278">
        <w:t>the American Statistical Associa</w:t>
      </w:r>
      <w:r w:rsidR="00034B12" w:rsidRPr="00594278">
        <w:t xml:space="preserve">tion, </w:t>
      </w:r>
      <w:r w:rsidR="00345F03" w:rsidRPr="00594278">
        <w:t xml:space="preserve">the </w:t>
      </w:r>
      <w:r w:rsidR="00CF71FF" w:rsidRPr="00594278">
        <w:t>Human Factors and Ergonomics Society</w:t>
      </w:r>
      <w:r w:rsidR="00DF6268" w:rsidRPr="00594278">
        <w:t xml:space="preserve">, the American Academy of Health Behavior, and </w:t>
      </w:r>
      <w:r w:rsidR="00787331" w:rsidRPr="00594278">
        <w:t>the Society for the Scientific Study of Sexuality</w:t>
      </w:r>
      <w:r w:rsidR="00594278" w:rsidRPr="00594278">
        <w:t>.</w:t>
      </w:r>
    </w:p>
    <w:p w14:paraId="4290F436" w14:textId="77777777" w:rsidR="006D2068" w:rsidRDefault="006D2068" w:rsidP="006D2068">
      <w:pPr>
        <w:pStyle w:val="NormalWeb"/>
        <w:spacing w:before="0" w:beforeAutospacing="0" w:after="0" w:afterAutospacing="0"/>
      </w:pPr>
      <w:r>
        <w:rPr>
          <w:color w:val="000000"/>
        </w:rPr>
        <w:t> </w:t>
      </w:r>
    </w:p>
    <w:p w14:paraId="2A18591D" w14:textId="3CF5F000" w:rsidR="00293CA8" w:rsidRDefault="006D2068" w:rsidP="001C1346">
      <w:pPr>
        <w:pStyle w:val="NormalWeb"/>
        <w:spacing w:before="0" w:beforeAutospacing="0" w:after="0" w:afterAutospacing="0"/>
        <w:rPr>
          <w:color w:val="000000" w:themeColor="text1"/>
        </w:rPr>
      </w:pPr>
      <w:r w:rsidRPr="79AFC456">
        <w:rPr>
          <w:color w:val="000000" w:themeColor="text1"/>
        </w:rPr>
        <w:t>Nestled in the rolling hills of south-central Indiana, and home to 85,000 residents, the city of Bloomington offers the feel of a college town with many of the amenities of a large city. From off-Broadway plays and musicals, the LOTUS World Festival of Music, quick access to 250,000 acres of public recreation lands, outstanding public schools and a reasonable cost of living, Bloomington offers much to all.  </w:t>
      </w:r>
    </w:p>
    <w:sectPr w:rsidR="00293CA8" w:rsidSect="00E72DE4">
      <w:headerReference w:type="default" r:id="rId2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082A" w14:textId="77777777" w:rsidR="000109F8" w:rsidRDefault="000109F8" w:rsidP="00BA7BE9">
      <w:r>
        <w:separator/>
      </w:r>
    </w:p>
  </w:endnote>
  <w:endnote w:type="continuationSeparator" w:id="0">
    <w:p w14:paraId="526C4EED" w14:textId="77777777" w:rsidR="000109F8" w:rsidRDefault="000109F8" w:rsidP="00BA7BE9">
      <w:r>
        <w:continuationSeparator/>
      </w:r>
    </w:p>
  </w:endnote>
  <w:endnote w:type="continuationNotice" w:id="1">
    <w:p w14:paraId="09D93CB9" w14:textId="77777777" w:rsidR="000109F8" w:rsidRDefault="00010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5705" w14:textId="77777777" w:rsidR="000109F8" w:rsidRDefault="000109F8" w:rsidP="00BA7BE9">
      <w:r>
        <w:separator/>
      </w:r>
    </w:p>
  </w:footnote>
  <w:footnote w:type="continuationSeparator" w:id="0">
    <w:p w14:paraId="004BF123" w14:textId="77777777" w:rsidR="000109F8" w:rsidRDefault="000109F8" w:rsidP="00BA7BE9">
      <w:r>
        <w:continuationSeparator/>
      </w:r>
    </w:p>
  </w:footnote>
  <w:footnote w:type="continuationNotice" w:id="1">
    <w:p w14:paraId="33800A17" w14:textId="77777777" w:rsidR="000109F8" w:rsidRDefault="00010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C807" w14:textId="3525EB0F" w:rsidR="00BA7BE9" w:rsidRDefault="00BA7BE9">
    <w:pPr>
      <w:pStyle w:val="Header"/>
    </w:pPr>
    <w:r>
      <w:rPr>
        <w:noProof/>
      </w:rPr>
      <w:drawing>
        <wp:inline distT="0" distB="0" distL="0" distR="0" wp14:anchorId="0AB77538" wp14:editId="3B18A5DC">
          <wp:extent cx="2999372"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00" cy="592485"/>
                  </a:xfrm>
                  <a:prstGeom prst="rect">
                    <a:avLst/>
                  </a:prstGeom>
                  <a:noFill/>
                  <a:ln>
                    <a:noFill/>
                  </a:ln>
                </pic:spPr>
              </pic:pic>
            </a:graphicData>
          </a:graphic>
        </wp:inline>
      </w:drawing>
    </w:r>
  </w:p>
  <w:p w14:paraId="7977F27F" w14:textId="77777777" w:rsidR="00BA7BE9" w:rsidRDefault="00BA7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68"/>
    <w:rsid w:val="000109F8"/>
    <w:rsid w:val="00010AFF"/>
    <w:rsid w:val="0001506E"/>
    <w:rsid w:val="00034B12"/>
    <w:rsid w:val="000B245B"/>
    <w:rsid w:val="000E36C4"/>
    <w:rsid w:val="000F4964"/>
    <w:rsid w:val="00111E51"/>
    <w:rsid w:val="00125B3D"/>
    <w:rsid w:val="0013600B"/>
    <w:rsid w:val="00175B22"/>
    <w:rsid w:val="001849BD"/>
    <w:rsid w:val="00185EFB"/>
    <w:rsid w:val="001942CE"/>
    <w:rsid w:val="001A5D8C"/>
    <w:rsid w:val="001C1346"/>
    <w:rsid w:val="002062CE"/>
    <w:rsid w:val="00226BB9"/>
    <w:rsid w:val="00233E75"/>
    <w:rsid w:val="00244748"/>
    <w:rsid w:val="00265731"/>
    <w:rsid w:val="002674B9"/>
    <w:rsid w:val="00277683"/>
    <w:rsid w:val="00293CA8"/>
    <w:rsid w:val="002953E5"/>
    <w:rsid w:val="002C5B26"/>
    <w:rsid w:val="002F215B"/>
    <w:rsid w:val="003041DA"/>
    <w:rsid w:val="003073EA"/>
    <w:rsid w:val="00334576"/>
    <w:rsid w:val="00345F03"/>
    <w:rsid w:val="00355B10"/>
    <w:rsid w:val="00364E8D"/>
    <w:rsid w:val="00365D85"/>
    <w:rsid w:val="00376F9E"/>
    <w:rsid w:val="003B2D8A"/>
    <w:rsid w:val="003D152D"/>
    <w:rsid w:val="003D2514"/>
    <w:rsid w:val="003D6C97"/>
    <w:rsid w:val="00446286"/>
    <w:rsid w:val="0046002F"/>
    <w:rsid w:val="004A2826"/>
    <w:rsid w:val="004B03AB"/>
    <w:rsid w:val="004C18CC"/>
    <w:rsid w:val="004F3B7F"/>
    <w:rsid w:val="00516927"/>
    <w:rsid w:val="00525CC0"/>
    <w:rsid w:val="005346B5"/>
    <w:rsid w:val="00541652"/>
    <w:rsid w:val="0055381B"/>
    <w:rsid w:val="005559BB"/>
    <w:rsid w:val="00555F92"/>
    <w:rsid w:val="00591A4F"/>
    <w:rsid w:val="00592CE9"/>
    <w:rsid w:val="00594278"/>
    <w:rsid w:val="00595207"/>
    <w:rsid w:val="005C0AAD"/>
    <w:rsid w:val="005E58D3"/>
    <w:rsid w:val="0064388D"/>
    <w:rsid w:val="006702A6"/>
    <w:rsid w:val="00675EDD"/>
    <w:rsid w:val="0068377E"/>
    <w:rsid w:val="00687374"/>
    <w:rsid w:val="006A4AA5"/>
    <w:rsid w:val="006B6BAC"/>
    <w:rsid w:val="006B7BE8"/>
    <w:rsid w:val="006D115A"/>
    <w:rsid w:val="006D2068"/>
    <w:rsid w:val="006F4119"/>
    <w:rsid w:val="00705CB7"/>
    <w:rsid w:val="00710519"/>
    <w:rsid w:val="007137B8"/>
    <w:rsid w:val="0072076B"/>
    <w:rsid w:val="00720B48"/>
    <w:rsid w:val="00723210"/>
    <w:rsid w:val="00724355"/>
    <w:rsid w:val="00726134"/>
    <w:rsid w:val="00741A9C"/>
    <w:rsid w:val="00747BEB"/>
    <w:rsid w:val="00764A58"/>
    <w:rsid w:val="00765C4A"/>
    <w:rsid w:val="007727A9"/>
    <w:rsid w:val="00781A86"/>
    <w:rsid w:val="00784DE0"/>
    <w:rsid w:val="00787331"/>
    <w:rsid w:val="00790752"/>
    <w:rsid w:val="007B6F74"/>
    <w:rsid w:val="007C25B2"/>
    <w:rsid w:val="007E303A"/>
    <w:rsid w:val="008202C4"/>
    <w:rsid w:val="0086737B"/>
    <w:rsid w:val="008E57A3"/>
    <w:rsid w:val="008F6E5C"/>
    <w:rsid w:val="0093782C"/>
    <w:rsid w:val="00937A72"/>
    <w:rsid w:val="009507BB"/>
    <w:rsid w:val="0096572A"/>
    <w:rsid w:val="00994D20"/>
    <w:rsid w:val="009A284F"/>
    <w:rsid w:val="009B7887"/>
    <w:rsid w:val="009E599D"/>
    <w:rsid w:val="00A26AB6"/>
    <w:rsid w:val="00A31DBB"/>
    <w:rsid w:val="00A34EB3"/>
    <w:rsid w:val="00A37AD8"/>
    <w:rsid w:val="00A441BA"/>
    <w:rsid w:val="00A905D1"/>
    <w:rsid w:val="00AD05F5"/>
    <w:rsid w:val="00AD4F1F"/>
    <w:rsid w:val="00AD568B"/>
    <w:rsid w:val="00AF3C5D"/>
    <w:rsid w:val="00AF50C3"/>
    <w:rsid w:val="00AF5A0C"/>
    <w:rsid w:val="00B04B35"/>
    <w:rsid w:val="00B05EAB"/>
    <w:rsid w:val="00B25EB8"/>
    <w:rsid w:val="00B27392"/>
    <w:rsid w:val="00B426F9"/>
    <w:rsid w:val="00B456FE"/>
    <w:rsid w:val="00B664EC"/>
    <w:rsid w:val="00B8047C"/>
    <w:rsid w:val="00B92BE4"/>
    <w:rsid w:val="00B95E38"/>
    <w:rsid w:val="00B96F50"/>
    <w:rsid w:val="00BA298A"/>
    <w:rsid w:val="00BA5B58"/>
    <w:rsid w:val="00BA6E69"/>
    <w:rsid w:val="00BA7BE9"/>
    <w:rsid w:val="00BA7E08"/>
    <w:rsid w:val="00BA7FE2"/>
    <w:rsid w:val="00BB4667"/>
    <w:rsid w:val="00BC34F5"/>
    <w:rsid w:val="00BE382C"/>
    <w:rsid w:val="00BF18F3"/>
    <w:rsid w:val="00C165D5"/>
    <w:rsid w:val="00C92519"/>
    <w:rsid w:val="00CA4F8E"/>
    <w:rsid w:val="00CB157D"/>
    <w:rsid w:val="00CE7489"/>
    <w:rsid w:val="00CF71FF"/>
    <w:rsid w:val="00D12A93"/>
    <w:rsid w:val="00D26763"/>
    <w:rsid w:val="00D41D11"/>
    <w:rsid w:val="00D45272"/>
    <w:rsid w:val="00D56FE1"/>
    <w:rsid w:val="00D61B8D"/>
    <w:rsid w:val="00D77B02"/>
    <w:rsid w:val="00D8599A"/>
    <w:rsid w:val="00DD2593"/>
    <w:rsid w:val="00DE5C5F"/>
    <w:rsid w:val="00DF6268"/>
    <w:rsid w:val="00E03E5C"/>
    <w:rsid w:val="00E22BDE"/>
    <w:rsid w:val="00E266C3"/>
    <w:rsid w:val="00E3212C"/>
    <w:rsid w:val="00E569C2"/>
    <w:rsid w:val="00E627B3"/>
    <w:rsid w:val="00E72DE4"/>
    <w:rsid w:val="00E94B10"/>
    <w:rsid w:val="00E95420"/>
    <w:rsid w:val="00EA621A"/>
    <w:rsid w:val="00EC5FD1"/>
    <w:rsid w:val="00ED102E"/>
    <w:rsid w:val="00EE650F"/>
    <w:rsid w:val="00F0289A"/>
    <w:rsid w:val="00F0372F"/>
    <w:rsid w:val="00F131DB"/>
    <w:rsid w:val="00F54302"/>
    <w:rsid w:val="00F92E5F"/>
    <w:rsid w:val="00FC3D81"/>
    <w:rsid w:val="04BAB591"/>
    <w:rsid w:val="08F3FA1E"/>
    <w:rsid w:val="0C350C61"/>
    <w:rsid w:val="10BA1AB1"/>
    <w:rsid w:val="13AA3972"/>
    <w:rsid w:val="166E522C"/>
    <w:rsid w:val="19BC8A9A"/>
    <w:rsid w:val="26E3597B"/>
    <w:rsid w:val="2938E770"/>
    <w:rsid w:val="2AAE0934"/>
    <w:rsid w:val="2EE23946"/>
    <w:rsid w:val="367680E4"/>
    <w:rsid w:val="3704CB96"/>
    <w:rsid w:val="452B439D"/>
    <w:rsid w:val="4C8B94EF"/>
    <w:rsid w:val="4EAD7FAF"/>
    <w:rsid w:val="4F08F7F8"/>
    <w:rsid w:val="50A538EF"/>
    <w:rsid w:val="518BD0C3"/>
    <w:rsid w:val="52D4E3EC"/>
    <w:rsid w:val="546E5A76"/>
    <w:rsid w:val="549BCA27"/>
    <w:rsid w:val="55E0F399"/>
    <w:rsid w:val="63DA906C"/>
    <w:rsid w:val="63EB94D3"/>
    <w:rsid w:val="6401831B"/>
    <w:rsid w:val="6A798D5F"/>
    <w:rsid w:val="6C641F48"/>
    <w:rsid w:val="7327C653"/>
    <w:rsid w:val="77EF15CF"/>
    <w:rsid w:val="79AFC456"/>
    <w:rsid w:val="7E01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2073"/>
  <w15:chartTrackingRefBased/>
  <w15:docId w15:val="{0071DA80-0DAE-4755-A062-132F554E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06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D2068"/>
    <w:rPr>
      <w:color w:val="0000FF"/>
      <w:u w:val="single"/>
    </w:rPr>
  </w:style>
  <w:style w:type="character" w:styleId="UnresolvedMention">
    <w:name w:val="Unresolved Mention"/>
    <w:basedOn w:val="DefaultParagraphFont"/>
    <w:uiPriority w:val="99"/>
    <w:semiHidden/>
    <w:unhideWhenUsed/>
    <w:rsid w:val="00E627B3"/>
    <w:rPr>
      <w:color w:val="605E5C"/>
      <w:shd w:val="clear" w:color="auto" w:fill="E1DFDD"/>
    </w:rPr>
  </w:style>
  <w:style w:type="paragraph" w:styleId="Header">
    <w:name w:val="header"/>
    <w:basedOn w:val="Normal"/>
    <w:link w:val="HeaderChar"/>
    <w:uiPriority w:val="99"/>
    <w:unhideWhenUsed/>
    <w:rsid w:val="00BA7BE9"/>
    <w:pPr>
      <w:tabs>
        <w:tab w:val="center" w:pos="4680"/>
        <w:tab w:val="right" w:pos="9360"/>
      </w:tabs>
    </w:pPr>
  </w:style>
  <w:style w:type="character" w:customStyle="1" w:styleId="HeaderChar">
    <w:name w:val="Header Char"/>
    <w:basedOn w:val="DefaultParagraphFont"/>
    <w:link w:val="Header"/>
    <w:uiPriority w:val="99"/>
    <w:rsid w:val="00BA7BE9"/>
  </w:style>
  <w:style w:type="paragraph" w:styleId="Footer">
    <w:name w:val="footer"/>
    <w:basedOn w:val="Normal"/>
    <w:link w:val="FooterChar"/>
    <w:uiPriority w:val="99"/>
    <w:unhideWhenUsed/>
    <w:rsid w:val="00BA7BE9"/>
    <w:pPr>
      <w:tabs>
        <w:tab w:val="center" w:pos="4680"/>
        <w:tab w:val="right" w:pos="9360"/>
      </w:tabs>
    </w:pPr>
  </w:style>
  <w:style w:type="character" w:customStyle="1" w:styleId="FooterChar">
    <w:name w:val="Footer Char"/>
    <w:basedOn w:val="DefaultParagraphFont"/>
    <w:link w:val="Footer"/>
    <w:uiPriority w:val="99"/>
    <w:rsid w:val="00BA7BE9"/>
  </w:style>
  <w:style w:type="character" w:customStyle="1" w:styleId="normaltextrun">
    <w:name w:val="normaltextrun"/>
    <w:basedOn w:val="DefaultParagraphFont"/>
    <w:rsid w:val="003D152D"/>
  </w:style>
  <w:style w:type="paragraph" w:styleId="CommentText">
    <w:name w:val="annotation text"/>
    <w:basedOn w:val="Normal"/>
    <w:link w:val="CommentTextChar"/>
    <w:uiPriority w:val="99"/>
    <w:unhideWhenUsed/>
    <w:rsid w:val="0046002F"/>
    <w:rPr>
      <w:sz w:val="20"/>
      <w:szCs w:val="20"/>
    </w:rPr>
  </w:style>
  <w:style w:type="character" w:customStyle="1" w:styleId="CommentTextChar">
    <w:name w:val="Comment Text Char"/>
    <w:basedOn w:val="DefaultParagraphFont"/>
    <w:link w:val="CommentText"/>
    <w:uiPriority w:val="99"/>
    <w:rsid w:val="0046002F"/>
    <w:rPr>
      <w:sz w:val="20"/>
      <w:szCs w:val="20"/>
    </w:rPr>
  </w:style>
  <w:style w:type="character" w:styleId="CommentReference">
    <w:name w:val="annotation reference"/>
    <w:basedOn w:val="DefaultParagraphFont"/>
    <w:uiPriority w:val="99"/>
    <w:semiHidden/>
    <w:unhideWhenUsed/>
    <w:rsid w:val="0046002F"/>
    <w:rPr>
      <w:sz w:val="16"/>
      <w:szCs w:val="16"/>
    </w:rPr>
  </w:style>
  <w:style w:type="paragraph" w:styleId="CommentSubject">
    <w:name w:val="annotation subject"/>
    <w:basedOn w:val="CommentText"/>
    <w:next w:val="CommentText"/>
    <w:link w:val="CommentSubjectChar"/>
    <w:uiPriority w:val="99"/>
    <w:semiHidden/>
    <w:unhideWhenUsed/>
    <w:rsid w:val="00C92519"/>
    <w:rPr>
      <w:b/>
      <w:bCs/>
    </w:rPr>
  </w:style>
  <w:style w:type="character" w:customStyle="1" w:styleId="CommentSubjectChar">
    <w:name w:val="Comment Subject Char"/>
    <w:basedOn w:val="CommentTextChar"/>
    <w:link w:val="CommentSubject"/>
    <w:uiPriority w:val="99"/>
    <w:semiHidden/>
    <w:rsid w:val="00C92519"/>
    <w:rPr>
      <w:b/>
      <w:bCs/>
      <w:sz w:val="20"/>
      <w:szCs w:val="20"/>
    </w:rPr>
  </w:style>
  <w:style w:type="character" w:styleId="FollowedHyperlink">
    <w:name w:val="FollowedHyperlink"/>
    <w:basedOn w:val="DefaultParagraphFont"/>
    <w:uiPriority w:val="99"/>
    <w:semiHidden/>
    <w:unhideWhenUsed/>
    <w:rsid w:val="00726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54760">
      <w:bodyDiv w:val="1"/>
      <w:marLeft w:val="0"/>
      <w:marRight w:val="0"/>
      <w:marTop w:val="0"/>
      <w:marBottom w:val="0"/>
      <w:divBdr>
        <w:top w:val="none" w:sz="0" w:space="0" w:color="auto"/>
        <w:left w:val="none" w:sz="0" w:space="0" w:color="auto"/>
        <w:bottom w:val="none" w:sz="0" w:space="0" w:color="auto"/>
        <w:right w:val="none" w:sz="0" w:space="0" w:color="auto"/>
      </w:divBdr>
    </w:div>
    <w:div w:id="19677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cine.iu.edu/research-centers/alzheimers" TargetMode="External"/><Relationship Id="rId18" Type="http://schemas.openxmlformats.org/officeDocument/2006/relationships/hyperlink" Target="https://indiana.peopleadmin.com/postings/2186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ptometry.iu.edu/research/research-areas-old.html" TargetMode="External"/><Relationship Id="rId7" Type="http://schemas.openxmlformats.org/officeDocument/2006/relationships/webSettings" Target="webSettings.xml"/><Relationship Id="rId12" Type="http://schemas.openxmlformats.org/officeDocument/2006/relationships/hyperlink" Target="https://optometry.iu.edu/index.html" TargetMode="External"/><Relationship Id="rId17" Type="http://schemas.openxmlformats.org/officeDocument/2006/relationships/hyperlink" Target="http://indiana.peopleadmin.com/hr/postings/2186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enstrief.org/" TargetMode="External"/><Relationship Id="rId20" Type="http://schemas.openxmlformats.org/officeDocument/2006/relationships/hyperlink" Target="https://optometry.iu.edu/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health.indiana.edu/" TargetMode="External"/><Relationship Id="rId24" Type="http://schemas.openxmlformats.org/officeDocument/2006/relationships/hyperlink" Target="https://publichealth.indiana.edu/index.html" TargetMode="External"/><Relationship Id="rId5" Type="http://schemas.openxmlformats.org/officeDocument/2006/relationships/styles" Target="styles.xml"/><Relationship Id="rId15" Type="http://schemas.openxmlformats.org/officeDocument/2006/relationships/hyperlink" Target="https://indianactsi.org/" TargetMode="External"/><Relationship Id="rId23" Type="http://schemas.openxmlformats.org/officeDocument/2006/relationships/hyperlink" Target="https://optometry.iu.edu/research/borish-center.html" TargetMode="External"/><Relationship Id="rId10" Type="http://schemas.openxmlformats.org/officeDocument/2006/relationships/hyperlink" Target="https://college.indiana.edu/" TargetMode="External"/><Relationship Id="rId19" Type="http://schemas.openxmlformats.org/officeDocument/2006/relationships/hyperlink" Target="https://college.indiana.edu/index.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sych.indiana.edu/research/labs-resources/imaging-research-facility.html" TargetMode="External"/><Relationship Id="rId22" Type="http://schemas.openxmlformats.org/officeDocument/2006/relationships/hyperlink" Target="https://optometry.iu.edu/academics/index.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85FA486F42A4B86C6F5ED6EAF4E8F" ma:contentTypeVersion="5" ma:contentTypeDescription="Create a new document." ma:contentTypeScope="" ma:versionID="8d8674e66bc8e1ef2c933f70fa8dd90a">
  <xsd:schema xmlns:xsd="http://www.w3.org/2001/XMLSchema" xmlns:xs="http://www.w3.org/2001/XMLSchema" xmlns:p="http://schemas.microsoft.com/office/2006/metadata/properties" xmlns:ns2="116c52a7-c2de-4ed6-b8f9-b6d2de9e2a8e" xmlns:ns3="8ae17005-250a-4380-b6ec-404d7ea827e1" targetNamespace="http://schemas.microsoft.com/office/2006/metadata/properties" ma:root="true" ma:fieldsID="4cdb2883f0af304b9bc488e899d6565a" ns2:_="" ns3:_="">
    <xsd:import namespace="116c52a7-c2de-4ed6-b8f9-b6d2de9e2a8e"/>
    <xsd:import namespace="8ae17005-250a-4380-b6ec-404d7ea827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c52a7-c2de-4ed6-b8f9-b6d2de9e2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7005-250a-4380-b6ec-404d7ea827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D2E48-364B-4975-95C8-63B2676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c52a7-c2de-4ed6-b8f9-b6d2de9e2a8e"/>
    <ds:schemaRef ds:uri="8ae17005-250a-4380-b6ec-404d7ea82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FF310-3409-405A-8A31-D554C4744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2659A-0B76-4422-B8D9-01D847BC70AE}">
  <ds:schemaRefs>
    <ds:schemaRef ds:uri="http://schemas.openxmlformats.org/officeDocument/2006/bibliography"/>
  </ds:schemaRefs>
</ds:datastoreItem>
</file>

<file path=customXml/itemProps4.xml><?xml version="1.0" encoding="utf-8"?>
<ds:datastoreItem xmlns:ds="http://schemas.openxmlformats.org/officeDocument/2006/customXml" ds:itemID="{3D70393B-8989-42A5-AF3F-F0FA1DC1B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Krendl, Anne Catherine</dc:creator>
  <cp:keywords/>
  <dc:description/>
  <cp:lastModifiedBy>Gavin Bidelman</cp:lastModifiedBy>
  <cp:revision>9</cp:revision>
  <dcterms:created xsi:type="dcterms:W3CDTF">2023-12-08T13:42:00Z</dcterms:created>
  <dcterms:modified xsi:type="dcterms:W3CDTF">2023-12-14T19:43:00Z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0x010100ACA85FA486F42A4B86C6F5ED6EAF4E8F</vt:lpwstr>
  </property>
</Properties>
</file>